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47D2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7D2D" w:rsidRDefault="0062354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47D2D" w:rsidRDefault="00623545">
            <w:pPr>
              <w:spacing w:after="0" w:line="240" w:lineRule="auto"/>
            </w:pPr>
            <w:r>
              <w:t>3156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7D2D" w:rsidRDefault="0062354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47D2D" w:rsidRDefault="00623545">
            <w:pPr>
              <w:spacing w:after="0" w:line="240" w:lineRule="auto"/>
            </w:pPr>
            <w:r>
              <w:t>ODGOJNI ZAVOD U TUROPOLJU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7D2D" w:rsidRDefault="0062354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47D2D" w:rsidRDefault="00623545">
            <w:pPr>
              <w:spacing w:after="0" w:line="240" w:lineRule="auto"/>
            </w:pPr>
            <w:r>
              <w:t>11</w:t>
            </w:r>
          </w:p>
        </w:tc>
      </w:tr>
    </w:tbl>
    <w:p w:rsidR="00B47D2D" w:rsidRDefault="00623545">
      <w:r>
        <w:br/>
      </w:r>
    </w:p>
    <w:p w:rsidR="00B47D2D" w:rsidRDefault="0062354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47D2D" w:rsidRDefault="0062354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47D2D" w:rsidRDefault="00623545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839.434,06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852.321,07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1.092.432,19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847.951,00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B47D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4.370,07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10.036,97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851,0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B47D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1.179,38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10.036,97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851,0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B47D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B47D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254.177,51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5.666,90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</w:t>
            </w:r>
            <w:proofErr w:type="spellStart"/>
            <w:r>
              <w:rPr>
                <w:b/>
                <w:sz w:val="18"/>
              </w:rPr>
              <w:t>2</w:t>
            </w:r>
            <w:proofErr w:type="spellEnd"/>
          </w:p>
        </w:tc>
      </w:tr>
    </w:tbl>
    <w:p w:rsidR="00B47D2D" w:rsidRDefault="00B47D2D">
      <w:pPr>
        <w:spacing w:after="0"/>
      </w:pPr>
    </w:p>
    <w:p w:rsidR="00B47D2D" w:rsidRDefault="00623545">
      <w:r>
        <w:t xml:space="preserve">Osnovna djelatnost: Odgojni zavod u Turopolju ustrojstvena je jedinica Ministarstva pravosuđa, uprave i digitalne transformacije, Uprave za zatvorski sustav i </w:t>
      </w:r>
      <w:proofErr w:type="spellStart"/>
      <w:r>
        <w:t>probaciju</w:t>
      </w:r>
      <w:proofErr w:type="spellEnd"/>
      <w:r>
        <w:t>, u koji se upućuju maloljetnici i mlađi punoljetnici kojima je u kaznenom postupku izre</w:t>
      </w:r>
      <w:r>
        <w:t>čena odgojna mjera upućivanja u odgojni zavod.</w:t>
      </w:r>
      <w:bookmarkStart w:id="0" w:name="_GoBack"/>
      <w:bookmarkEnd w:id="0"/>
    </w:p>
    <w:p w:rsidR="00B47D2D" w:rsidRDefault="00623545">
      <w:r>
        <w:lastRenderedPageBreak/>
        <w:br/>
      </w:r>
    </w:p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839.434,06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852.321,07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Ostvareni prihodi poslovanja tekuće godine na dan 31. ožujak 2026. godine iznose 852.321,07  EUR i veći su za 1,5% od ostvarenog u izvještajnom razdoblju prethodne godine zbog više doznačenih sredstava iz Državnog proračuna.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828.257,51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844.119,44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Navedeni prihodi veći su za 1,9 % u odnosu na izvještajno razdoblje prethodne godine i iznose 844.119,44 EUR.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Ostali prihodi – iznose 121,05 i odnose se na naplatu štete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1.092.432,19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847.951,00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Ukupni rashodi poslovanja u razdoblju od siječnja do ožujka 2026. godine iznose 847.951,00 EUR i manji su za 22,4% u odnosu na ostvareno prethodne godine u istom periodu.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1.001.856,43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727.723,19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72,6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iznose = 727.723,19 EUR i manji su za 27,4 % u odnosu na prethodno razdoblje. 2025. godine su ukinuti kontinuirani rashodi te su u obračunu bile 4 isplate plaće, dok su u 2026. godini 3 obračunate plaće.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90.394,15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120.046,39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Materijalni rashodi ukupno iznose = 120.046,39 EUR i veći su za 32,8% u odnosu na prethodno razdoblje.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463,6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lastRenderedPageBreak/>
        <w:t xml:space="preserve">Službena putovanja – iznos 1.292,60 EUR, povećanje od 363,6% - odnosi se na troškove cestarina zbog </w:t>
      </w:r>
      <w:proofErr w:type="spellStart"/>
      <w:r>
        <w:t>sprovođenja</w:t>
      </w:r>
      <w:proofErr w:type="spellEnd"/>
      <w:r>
        <w:t xml:space="preserve"> maloljetnika na sudove u udaljene gradove.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157,0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 xml:space="preserve">Uredski materijal – iznos 3.417,72 EUR - povećanje 57 % </w:t>
      </w:r>
      <w:proofErr w:type="spellStart"/>
      <w:r>
        <w:t>odnoi</w:t>
      </w:r>
      <w:proofErr w:type="spellEnd"/>
      <w:r>
        <w:t xml:space="preserve"> se na nabavu školskog pribora za maloljetnike.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8.850,45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Materijal i sirovine – iznos 8.850,45EUR – povećanje 41% - odnosi se najvećim dijelom na lijekove, posteljina za maloljetnike te sirovina za maloljetnički Praktikum. 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35.403,17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48.956,22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Energija – iznos 48.956,22 EUR – povećanje 38,3% - odnosi se najvećim dijelom na lož ulje za grijanje Odgojnog zavoda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220,9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Materijal i dijelovi za tek.investic.održavanje – iznos 4.086,30 EUR  – povećanje 120,9 % - odnosi se najvećim dijelom na materijal za održavanje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337,4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 xml:space="preserve">Sitni inventar i </w:t>
      </w:r>
      <w:proofErr w:type="spellStart"/>
      <w:r>
        <w:t>autogume</w:t>
      </w:r>
      <w:proofErr w:type="spellEnd"/>
      <w:r>
        <w:t xml:space="preserve"> – iznos 1.625,00 EUR - povećanje od 237,4% - odnosi se na nabavu 5 kom stolaca za Odjel osiguranja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203,8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Usluge tekućeg i investicijskog održavanja – iznos 9.406,51 EUR - povećanje od 103,8% odnosi se na redoviti godišnji servis i atest vatrogasnih aparata, servis klima uređaja te servis plamenika u kotlovnici, servis vozila.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260,7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 Komunalne usluge – iznos 4.909,67 EUR – povećanje 160,7% - do povećanja je došlo zbog povećanja cijene komunalnih usluga.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2472,6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Zdravstvene i veterinarske usluge – iznos 3.658,51 EUR – povećanje 2.372,6% - do povećanja je došlo zbog usluge sistematskih pregleda zaposlenika.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Intelektualne i osobne usluge – iznos 5.611,50 EUR – povećanje 39,4% - do povećanja je došlo zbog povećanja satnice pružateljima usluga provođenja programa obrazovanja te povećanja broja izvršitelja pružanja usluga.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 Ostale usluge – iznos 646,59 EUR – povećanje od 48,9% odnosi se na registraciju novog vozila.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133,8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lastRenderedPageBreak/>
        <w:t>Naknade za rad – iznos 3.874,96 EUR – povećanje od 33,8% odnosi se na povećani angažman radno aktivnih maloljetnika.    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533,7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Uredska oprema i namještaj – iznos od 6.293,97 EUR odnosi se na nabavu dodatnih metalnih kreveta  i ormarića zbog stalnog povećanja broja maloljetnika te otvaranja dodatnog Odjela za maloljetnike.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Dodatna ulaganja na građevinskim objektima –iznos od 3.743,00 EUR odnosi se na rekonstrukciju sanitarnog čvora pravosudne policije.</w:t>
      </w:r>
    </w:p>
    <w:p w:rsidR="00B47D2D" w:rsidRDefault="00623545">
      <w:r>
        <w:t>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B47D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262.385,63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257.209,37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98,0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U slijedeće razdoblje prenosi se manjak prihoda i primitaka u iznosu od 257.209,37 EUR. 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B47D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</w:t>
            </w:r>
            <w:r>
              <w:rPr>
                <w:sz w:val="18"/>
              </w:rPr>
              <w:t xml:space="preserve">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Nema dospjelih obveza</w:t>
      </w:r>
    </w:p>
    <w:p w:rsidR="00B47D2D" w:rsidRDefault="00B47D2D"/>
    <w:p w:rsidR="00B47D2D" w:rsidRDefault="0062354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7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7D2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B47D2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282.572,26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7D2D" w:rsidRDefault="006235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7D2D" w:rsidRDefault="00B47D2D">
      <w:pPr>
        <w:spacing w:after="0"/>
      </w:pPr>
    </w:p>
    <w:p w:rsidR="00B47D2D" w:rsidRDefault="00623545">
      <w:r>
        <w:t>Nedospjele obveze odnose se na: obračunate plaće i prijevoz za mjesec ožujak 2026., obveze za materijalne rashode, za nefinancijsku imovinu i obveze za povrat u proračun za bolovanja HZZO. </w:t>
      </w:r>
    </w:p>
    <w:p w:rsidR="00B47D2D" w:rsidRDefault="00623545">
      <w:r>
        <w:t> </w:t>
      </w:r>
    </w:p>
    <w:p w:rsidR="00B47D2D" w:rsidRDefault="00B47D2D"/>
    <w:sectPr w:rsidR="00B47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2D"/>
    <w:rsid w:val="00623545"/>
    <w:rsid w:val="00B4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Loborčec Ćurić</dc:creator>
  <cp:lastModifiedBy>Matea Loborčec Ćurić</cp:lastModifiedBy>
  <cp:revision>2</cp:revision>
  <dcterms:created xsi:type="dcterms:W3CDTF">2026-04-08T13:18:00Z</dcterms:created>
  <dcterms:modified xsi:type="dcterms:W3CDTF">2026-04-08T13:18:00Z</dcterms:modified>
</cp:coreProperties>
</file>